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Objection to Admissibility for Confessions and Statements a matter involving disputed documents or records</w:t>
      </w:r>
    </w:p>
    <w:p>
      <w:pPr>
        <w:spacing w:before="0" w:after="160" w:line="269" w:lineRule="auto"/>
        <w:jc w:val="center"/>
      </w:pPr>
      <w:r>
        <w:rPr>
          <w:rFonts w:ascii="Times New Roman" w:hAnsi="Times New Roman"/>
          <w:b w:val="0"/>
          <w:i w:val="0"/>
          <w:color w:val="000000"/>
          <w:sz w:val="18"/>
        </w:rPr>
        <w:t>BSA Law drafts  |  Confessions and Statements  |  Resource ID LAW-03-03-048</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objection to admissibility to identify the proposed material, its relevance, source, authenticity and method of proof, with a fair opportunity for objection in a matter concerning Confessions and Statements.</w:t>
      </w:r>
    </w:p>
    <w:p>
      <w:pPr>
        <w:spacing w:before="0" w:after="100" w:line="269" w:lineRule="auto"/>
      </w:pPr>
      <w:r>
        <w:rPr>
          <w:rFonts w:ascii="Times New Roman" w:hAnsi="Times New Roman"/>
          <w:b w:val="0"/>
          <w:i w:val="0"/>
          <w:color w:val="000000"/>
          <w:sz w:val="22"/>
        </w:rPr>
        <w:t>Matter profile: a matter involving disputed documents or records. Identify the original, each copy, its custodian, the disputed feature and the foundation proposed for proof.</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Confessions and Statements,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objection to admissibility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LAW-03-03-048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Objection to Admissibility for Confessions and Statements a matter involving disputed documents or records</dc:title>
  <dc:subject>Original editable Indian legal drafting framework</dc:subject>
  <dc:creator>Legal Resource Library</dc:creator>
  <cp:keywords>BSA Law drafts; Confessions and Statements;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